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
          <w:szCs w:val="2"/>
        </w:rPr>
      </w:pPr>
      <w:r w:rsidDel="00000000" w:rsidR="00000000" w:rsidRPr="00000000">
        <w:rPr>
          <w:rtl w:val="0"/>
        </w:rPr>
      </w:r>
    </w:p>
    <w:tbl>
      <w:tblPr>
        <w:tblStyle w:val="Table1"/>
        <w:tblpPr w:leftFromText="180" w:rightFromText="180" w:topFromText="180" w:bottomFromText="180" w:vertAnchor="text" w:horzAnchor="text" w:tblpX="-690" w:tblpY="0"/>
        <w:tblW w:w="10695.0" w:type="dxa"/>
        <w:jc w:val="left"/>
        <w:tblBorders>
          <w:top w:color="3d3632" w:space="0" w:sz="8" w:val="single"/>
          <w:left w:color="3d3632" w:space="0" w:sz="8" w:val="single"/>
          <w:bottom w:color="3d3632" w:space="0" w:sz="8" w:val="single"/>
          <w:right w:color="3d3632" w:space="0" w:sz="8" w:val="single"/>
          <w:insideH w:color="3d3632" w:space="0" w:sz="8" w:val="single"/>
          <w:insideV w:color="3d3632" w:space="0" w:sz="8" w:val="single"/>
        </w:tblBorders>
        <w:tblLayout w:type="fixed"/>
        <w:tblLook w:val="0400"/>
      </w:tblPr>
      <w:tblGrid>
        <w:gridCol w:w="1860"/>
        <w:gridCol w:w="4305"/>
        <w:gridCol w:w="4530"/>
        <w:tblGridChange w:id="0">
          <w:tblGrid>
            <w:gridCol w:w="1860"/>
            <w:gridCol w:w="4305"/>
            <w:gridCol w:w="4530"/>
          </w:tblGrid>
        </w:tblGridChange>
      </w:tblGrid>
      <w:tr>
        <w:trPr>
          <w:cantSplit w:val="0"/>
          <w:trHeight w:val="280" w:hRule="atLeast"/>
          <w:tblHeader w:val="0"/>
        </w:trPr>
        <w:tc>
          <w:tcPr>
            <w:gridSpan w:val="3"/>
            <w:tcBorders>
              <w:bottom w:color="3d3632" w:space="0" w:sz="4" w:val="single"/>
              <w:right w:color="000000" w:space="0" w:sz="0" w:val="nil"/>
            </w:tcBorders>
            <w:shd w:fill="3d3632" w:val="clear"/>
            <w:tcMar>
              <w:top w:w="144.0" w:type="dxa"/>
              <w:left w:w="144.0" w:type="dxa"/>
              <w:bottom w:w="144.0" w:type="dxa"/>
              <w:right w:w="144.0" w:type="dxa"/>
            </w:tcMar>
            <w:vAlign w:val="center"/>
          </w:tcPr>
          <w:p w:rsidR="00000000" w:rsidDel="00000000" w:rsidP="00000000" w:rsidRDefault="00000000" w:rsidRPr="00000000" w14:paraId="00000002">
            <w:pPr>
              <w:widowControl w:val="0"/>
              <w:jc w:val="both"/>
              <w:rPr>
                <w:rFonts w:ascii="Arial" w:cs="Arial" w:eastAsia="Arial" w:hAnsi="Arial"/>
                <w:b w:val="1"/>
                <w:bCs w:val="1"/>
                <w:color w:val="ffffff"/>
                <w:sz w:val="28"/>
                <w:szCs w:val="28"/>
              </w:rPr>
            </w:pPr>
            <w:r w:rsidDel="00000000" w:rsidR="00000000" w:rsidRPr="00000000">
              <w:rPr>
                <w:rFonts w:ascii="Arial" w:cs="Arial" w:eastAsia="Arial" w:hAnsi="Arial"/>
                <w:b w:val="1"/>
                <w:bCs w:val="1"/>
                <w:color w:val="ffffff"/>
                <w:sz w:val="28"/>
                <w:szCs w:val="28"/>
                <w:rtl w:val="0"/>
              </w:rPr>
              <w:t xml:space="preserve">Course Outline</w:t>
            </w:r>
          </w:p>
        </w:tc>
      </w:tr>
      <w:tr>
        <w:trPr>
          <w:cantSplit w:val="0"/>
          <w:tblHeader w:val="0"/>
        </w:trPr>
        <w:tc>
          <w:tcPr>
            <w:tcBorders>
              <w:top w:color="3d3632" w:space="0" w:sz="4" w:val="single"/>
            </w:tcBorders>
            <w:shd w:fill="f9f5f0" w:val="clear"/>
            <w:tcMar>
              <w:top w:w="144.0" w:type="dxa"/>
              <w:left w:w="144.0" w:type="dxa"/>
              <w:bottom w:w="144.0" w:type="dxa"/>
              <w:right w:w="144.0" w:type="dxa"/>
            </w:tcMar>
          </w:tcPr>
          <w:p w:rsidR="00000000" w:rsidDel="00000000" w:rsidP="00000000" w:rsidRDefault="00000000" w:rsidRPr="00000000" w14:paraId="00000005">
            <w:pPr>
              <w:jc w:val="center"/>
              <w:rPr>
                <w:rFonts w:ascii="Arial" w:cs="Arial" w:eastAsia="Arial" w:hAnsi="Arial"/>
                <w:b w:val="1"/>
                <w:bCs w:val="1"/>
                <w:sz w:val="18"/>
                <w:szCs w:val="18"/>
              </w:rPr>
            </w:pPr>
            <w:r w:rsidDel="00000000" w:rsidR="00000000" w:rsidRPr="00000000">
              <w:rPr>
                <w:rFonts w:ascii="Arial" w:cs="Arial" w:eastAsia="Arial" w:hAnsi="Arial"/>
                <w:b w:val="1"/>
                <w:bCs w:val="1"/>
                <w:sz w:val="22"/>
                <w:szCs w:val="22"/>
                <w:rtl w:val="0"/>
              </w:rPr>
              <w:t xml:space="preserve">Course name</w:t>
            </w:r>
            <w:r w:rsidDel="00000000" w:rsidR="00000000" w:rsidRPr="00000000">
              <w:rPr>
                <w:rtl w:val="0"/>
              </w:rPr>
            </w:r>
          </w:p>
        </w:tc>
        <w:tc>
          <w:tcPr>
            <w:gridSpan w:val="2"/>
            <w:tcBorders>
              <w:top w:color="3d3632" w:space="0" w:sz="4" w:val="single"/>
            </w:tcBorders>
            <w:tcMar>
              <w:top w:w="144.0" w:type="dxa"/>
              <w:left w:w="144.0" w:type="dxa"/>
              <w:bottom w:w="144.0" w:type="dxa"/>
              <w:right w:w="144.0" w:type="dxa"/>
            </w:tcMar>
          </w:tcPr>
          <w:p w:rsidR="00000000" w:rsidDel="00000000" w:rsidP="00000000" w:rsidRDefault="00000000" w:rsidRPr="00000000" w14:paraId="00000006">
            <w:pPr>
              <w:spacing w:after="120" w:before="12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Design Thinking: </w:t>
              <w:br w:type="textWrapping"/>
              <w:t xml:space="preserve">From Gifts to First Real Offer</w:t>
            </w:r>
          </w:p>
          <w:p w:rsidR="00000000" w:rsidDel="00000000" w:rsidP="00000000" w:rsidRDefault="00000000" w:rsidRPr="00000000" w14:paraId="00000007">
            <w:pPr>
              <w:spacing w:after="120" w:before="120" w:lineRule="auto"/>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A hands-on introduction to design thinking for turning passions into products, services, or experiences.</w:t>
            </w:r>
          </w:p>
        </w:tc>
      </w:tr>
      <w:tr>
        <w:trPr>
          <w:cantSplit w:val="0"/>
          <w:tblHeader w:val="0"/>
        </w:trPr>
        <w:tc>
          <w:tcPr>
            <w:shd w:fill="f9f5f0" w:val="clear"/>
            <w:tcMar>
              <w:top w:w="144.0" w:type="dxa"/>
              <w:left w:w="144.0" w:type="dxa"/>
              <w:bottom w:w="144.0" w:type="dxa"/>
              <w:right w:w="144.0" w:type="dxa"/>
            </w:tcMar>
          </w:tcPr>
          <w:p w:rsidR="00000000" w:rsidDel="00000000" w:rsidP="00000000" w:rsidRDefault="00000000" w:rsidRPr="00000000" w14:paraId="00000009">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Course description</w:t>
            </w:r>
          </w:p>
        </w:tc>
        <w:tc>
          <w:tcPr>
            <w:gridSpan w:val="2"/>
            <w:tcMar>
              <w:top w:w="144.0" w:type="dxa"/>
              <w:left w:w="144.0" w:type="dxa"/>
              <w:bottom w:w="144.0" w:type="dxa"/>
              <w:right w:w="144.0" w:type="dxa"/>
            </w:tcMar>
          </w:tcPr>
          <w:p w:rsidR="00000000" w:rsidDel="00000000" w:rsidP="00000000" w:rsidRDefault="00000000" w:rsidRPr="00000000" w14:paraId="0000000A">
            <w:pPr>
              <w:spacing w:after="120" w:before="120" w:line="280.79999999999995"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This course introduces students to design thinking as a practical, human-centered way of learning from the real world. Building on the inner clarity developed in Higher Visioning, students will learn how to observe people and situations, make sense of what they see, generate ideas, and rapidly prototype offerings to learn what works.</w:t>
            </w:r>
          </w:p>
          <w:p w:rsidR="00000000" w:rsidDel="00000000" w:rsidP="00000000" w:rsidRDefault="00000000" w:rsidRPr="00000000" w14:paraId="0000000B">
            <w:pPr>
              <w:spacing w:after="120" w:before="120" w:line="280.79999999999995"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Rather than focusing on perfection or long-term business plans, this course emphasizes experimentation, curiosity, and action. Students will enter the course with three early ideas and exit with one clear, testable product, service, or experience that can be further developed through branding, website creation, and basic financial planning.</w:t>
            </w:r>
          </w:p>
        </w:tc>
      </w:tr>
      <w:tr>
        <w:trPr>
          <w:cantSplit w:val="0"/>
          <w:tblHeader w:val="0"/>
        </w:trPr>
        <w:tc>
          <w:tcPr>
            <w:shd w:fill="f9f5f0" w:val="clear"/>
            <w:tcMar>
              <w:top w:w="144.0" w:type="dxa"/>
              <w:left w:w="144.0" w:type="dxa"/>
              <w:bottom w:w="144.0" w:type="dxa"/>
              <w:right w:w="144.0" w:type="dxa"/>
            </w:tcMar>
          </w:tcPr>
          <w:p w:rsidR="00000000" w:rsidDel="00000000" w:rsidP="00000000" w:rsidRDefault="00000000" w:rsidRPr="00000000" w14:paraId="0000000D">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Audience</w:t>
            </w:r>
          </w:p>
          <w:p w:rsidR="00000000" w:rsidDel="00000000" w:rsidP="00000000" w:rsidRDefault="00000000" w:rsidRPr="00000000" w14:paraId="0000000E">
            <w:pPr>
              <w:jc w:val="center"/>
              <w:rPr>
                <w:rFonts w:ascii="Arial" w:cs="Arial" w:eastAsia="Arial" w:hAnsi="Arial"/>
                <w:i w:val="1"/>
                <w:iCs w:val="1"/>
                <w:sz w:val="18"/>
                <w:szCs w:val="18"/>
              </w:rPr>
            </w:pPr>
            <w:r w:rsidDel="00000000" w:rsidR="00000000" w:rsidRPr="00000000">
              <w:rPr>
                <w:rtl w:val="0"/>
              </w:rPr>
            </w:r>
          </w:p>
        </w:tc>
        <w:tc>
          <w:tcPr>
            <w:gridSpan w:val="2"/>
            <w:tcMar>
              <w:top w:w="144.0" w:type="dxa"/>
              <w:left w:w="144.0" w:type="dxa"/>
              <w:bottom w:w="144.0" w:type="dxa"/>
              <w:right w:w="144.0" w:type="dxa"/>
            </w:tcMar>
          </w:tcPr>
          <w:p w:rsidR="00000000" w:rsidDel="00000000" w:rsidP="00000000" w:rsidRDefault="00000000" w:rsidRPr="00000000" w14:paraId="0000000F">
            <w:pPr>
              <w:spacing w:after="120" w:before="120" w:line="280.79999999999995"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This course is designed for college-aged youth (approximately 17–29) and single mothers/women, including aspiring entrepreneurs, creatives, farmers, makers, and community-oriented individuals who want to explore how their passions and gifts can meet real needs in the world.</w:t>
            </w:r>
          </w:p>
          <w:p w:rsidR="00000000" w:rsidDel="00000000" w:rsidP="00000000" w:rsidRDefault="00000000" w:rsidRPr="00000000" w14:paraId="00000010">
            <w:pPr>
              <w:spacing w:after="120" w:before="120" w:line="280.79999999999995"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 course is especially well suited for learners who value hands-on learning, collaboration, creativity, and place-based approaches, and who may be new to design thinking, entrepreneurship, or market research.</w:t>
            </w:r>
          </w:p>
        </w:tc>
      </w:tr>
      <w:tr>
        <w:trPr>
          <w:cantSplit w:val="0"/>
          <w:tblHeader w:val="0"/>
        </w:trPr>
        <w:tc>
          <w:tcPr>
            <w:shd w:fill="f9f5f0" w:val="clear"/>
            <w:tcMar>
              <w:top w:w="144.0" w:type="dxa"/>
              <w:left w:w="144.0" w:type="dxa"/>
              <w:bottom w:w="144.0" w:type="dxa"/>
              <w:right w:w="144.0" w:type="dxa"/>
            </w:tcMar>
          </w:tcPr>
          <w:p w:rsidR="00000000" w:rsidDel="00000000" w:rsidP="00000000" w:rsidRDefault="00000000" w:rsidRPr="00000000" w14:paraId="00000012">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Course objective</w:t>
            </w:r>
          </w:p>
          <w:p w:rsidR="00000000" w:rsidDel="00000000" w:rsidP="00000000" w:rsidRDefault="00000000" w:rsidRPr="00000000" w14:paraId="00000013">
            <w:pPr>
              <w:jc w:val="center"/>
              <w:rPr>
                <w:rFonts w:ascii="Arial" w:cs="Arial" w:eastAsia="Arial" w:hAnsi="Arial"/>
                <w:i w:val="1"/>
                <w:iCs w:val="1"/>
                <w:sz w:val="18"/>
                <w:szCs w:val="18"/>
              </w:rPr>
            </w:pPr>
            <w:r w:rsidDel="00000000" w:rsidR="00000000" w:rsidRPr="00000000">
              <w:rPr>
                <w:rtl w:val="0"/>
              </w:rPr>
            </w:r>
          </w:p>
        </w:tc>
        <w:tc>
          <w:tcPr>
            <w:gridSpan w:val="2"/>
            <w:tcMar>
              <w:top w:w="144.0" w:type="dxa"/>
              <w:left w:w="144.0" w:type="dxa"/>
              <w:bottom w:w="144.0" w:type="dxa"/>
              <w:right w:w="144.0" w:type="dxa"/>
            </w:tcMar>
          </w:tcPr>
          <w:p w:rsidR="00000000" w:rsidDel="00000000" w:rsidP="00000000" w:rsidRDefault="00000000" w:rsidRPr="00000000" w14:paraId="00000014">
            <w:pPr>
              <w:spacing w:after="120" w:before="120" w:line="280.79999999999995"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 primary objective of this course is to give students a clear, repeatable process for translating their passions and gifts into something real they can test in the world.</w:t>
            </w:r>
          </w:p>
          <w:p w:rsidR="00000000" w:rsidDel="00000000" w:rsidP="00000000" w:rsidRDefault="00000000" w:rsidRPr="00000000" w14:paraId="00000015">
            <w:pPr>
              <w:spacing w:after="120" w:before="120" w:line="280.79999999999995"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By the end of the course, students will be able to use basic design thinking tools—such as observation, synthesis, ideation, and prototyping—to evaluate ideas, learn from feedback, and develop one viable first offer (product, service, or experience) grounded in both personal alignment and real-world needs.</w:t>
            </w:r>
          </w:p>
        </w:tc>
      </w:tr>
      <w:tr>
        <w:trPr>
          <w:cantSplit w:val="0"/>
          <w:tblHeader w:val="0"/>
        </w:trPr>
        <w:tc>
          <w:tcPr>
            <w:shd w:fill="f9f5f0" w:val="clear"/>
            <w:tcMar>
              <w:top w:w="144.0" w:type="dxa"/>
              <w:left w:w="144.0" w:type="dxa"/>
              <w:bottom w:w="144.0" w:type="dxa"/>
              <w:right w:w="144.0" w:type="dxa"/>
            </w:tcMar>
          </w:tcPr>
          <w:p w:rsidR="00000000" w:rsidDel="00000000" w:rsidP="00000000" w:rsidRDefault="00000000" w:rsidRPr="00000000" w14:paraId="00000017">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Learning outcomes</w:t>
            </w:r>
          </w:p>
          <w:p w:rsidR="00000000" w:rsidDel="00000000" w:rsidP="00000000" w:rsidRDefault="00000000" w:rsidRPr="00000000" w14:paraId="00000018">
            <w:pPr>
              <w:jc w:val="center"/>
              <w:rPr>
                <w:rFonts w:ascii="Arial" w:cs="Arial" w:eastAsia="Arial" w:hAnsi="Arial"/>
                <w:b w:val="1"/>
                <w:bCs w:val="1"/>
                <w:i w:val="1"/>
                <w:iCs w:val="1"/>
                <w:sz w:val="18"/>
                <w:szCs w:val="18"/>
              </w:rPr>
            </w:pPr>
            <w:r w:rsidDel="00000000" w:rsidR="00000000" w:rsidRPr="00000000">
              <w:rPr>
                <w:rtl w:val="0"/>
              </w:rPr>
            </w:r>
          </w:p>
        </w:tc>
        <w:tc>
          <w:tcPr>
            <w:gridSpan w:val="2"/>
            <w:tcMar>
              <w:top w:w="144.0" w:type="dxa"/>
              <w:left w:w="144.0" w:type="dxa"/>
              <w:bottom w:w="144.0" w:type="dxa"/>
              <w:right w:w="144.0" w:type="dxa"/>
            </w:tcMar>
          </w:tcPr>
          <w:p w:rsidR="00000000" w:rsidDel="00000000" w:rsidP="00000000" w:rsidRDefault="00000000" w:rsidRPr="00000000" w14:paraId="00000019">
            <w:pPr>
              <w:spacing w:after="120" w:before="120" w:line="280.79999999999995"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By completing this course you will be able to:</w:t>
            </w:r>
          </w:p>
          <w:p w:rsidR="00000000" w:rsidDel="00000000" w:rsidP="00000000" w:rsidRDefault="00000000" w:rsidRPr="00000000" w14:paraId="0000001A">
            <w:pPr>
              <w:numPr>
                <w:ilvl w:val="0"/>
                <w:numId w:val="3"/>
              </w:numPr>
              <w:spacing w:after="120" w:before="120" w:line="24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Understand design thinking as a learning process rather than a linear plan</w:t>
            </w:r>
          </w:p>
          <w:p w:rsidR="00000000" w:rsidDel="00000000" w:rsidP="00000000" w:rsidRDefault="00000000" w:rsidRPr="00000000" w14:paraId="0000001B">
            <w:pPr>
              <w:numPr>
                <w:ilvl w:val="0"/>
                <w:numId w:val="3"/>
              </w:numPr>
              <w:spacing w:after="120" w:before="120" w:line="24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Conduct simple design research through observation and conversation</w:t>
            </w:r>
          </w:p>
          <w:p w:rsidR="00000000" w:rsidDel="00000000" w:rsidP="00000000" w:rsidRDefault="00000000" w:rsidRPr="00000000" w14:paraId="0000001C">
            <w:pPr>
              <w:numPr>
                <w:ilvl w:val="0"/>
                <w:numId w:val="3"/>
              </w:numPr>
              <w:spacing w:after="120" w:before="120" w:line="24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Identify patterns and insights from real-world interactions</w:t>
            </w:r>
          </w:p>
          <w:p w:rsidR="00000000" w:rsidDel="00000000" w:rsidP="00000000" w:rsidRDefault="00000000" w:rsidRPr="00000000" w14:paraId="0000001D">
            <w:pPr>
              <w:numPr>
                <w:ilvl w:val="0"/>
                <w:numId w:val="3"/>
              </w:numPr>
              <w:spacing w:after="120" w:before="120" w:line="24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Form clear “How Might We” questions to guide idea development</w:t>
            </w:r>
          </w:p>
          <w:p w:rsidR="00000000" w:rsidDel="00000000" w:rsidP="00000000" w:rsidRDefault="00000000" w:rsidRPr="00000000" w14:paraId="0000001E">
            <w:pPr>
              <w:numPr>
                <w:ilvl w:val="0"/>
                <w:numId w:val="3"/>
              </w:numPr>
              <w:spacing w:after="120" w:before="120" w:line="24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Generate and evaluate ideas across products, services, and experiences</w:t>
            </w:r>
          </w:p>
          <w:p w:rsidR="00000000" w:rsidDel="00000000" w:rsidP="00000000" w:rsidRDefault="00000000" w:rsidRPr="00000000" w14:paraId="0000001F">
            <w:pPr>
              <w:numPr>
                <w:ilvl w:val="0"/>
                <w:numId w:val="3"/>
              </w:numPr>
              <w:spacing w:after="120" w:before="120" w:line="24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Create low-fidelity prototypes (“sacrificial concepts”) to learn quickly</w:t>
            </w:r>
          </w:p>
          <w:p w:rsidR="00000000" w:rsidDel="00000000" w:rsidP="00000000" w:rsidRDefault="00000000" w:rsidRPr="00000000" w14:paraId="00000020">
            <w:pPr>
              <w:numPr>
                <w:ilvl w:val="0"/>
                <w:numId w:val="3"/>
              </w:numPr>
              <w:spacing w:after="120" w:before="120" w:line="24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Use desirability, viability, feasibility, and adaptability as market lenses</w:t>
            </w:r>
          </w:p>
          <w:p w:rsidR="00000000" w:rsidDel="00000000" w:rsidP="00000000" w:rsidRDefault="00000000" w:rsidRPr="00000000" w14:paraId="00000021">
            <w:pPr>
              <w:numPr>
                <w:ilvl w:val="0"/>
                <w:numId w:val="3"/>
              </w:numPr>
              <w:spacing w:after="120" w:before="120" w:line="240"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Select one idea to develop further and articulate it as a clear first offer</w:t>
            </w:r>
          </w:p>
        </w:tc>
      </w:tr>
      <w:tr>
        <w:trPr>
          <w:cantSplit w:val="0"/>
          <w:tblHeader w:val="0"/>
        </w:trPr>
        <w:tc>
          <w:tcPr>
            <w:shd w:fill="f9f5f0" w:val="clear"/>
            <w:tcMar>
              <w:top w:w="144.0" w:type="dxa"/>
              <w:left w:w="144.0" w:type="dxa"/>
              <w:bottom w:w="144.0" w:type="dxa"/>
              <w:right w:w="144.0" w:type="dxa"/>
            </w:tcMar>
          </w:tcPr>
          <w:p w:rsidR="00000000" w:rsidDel="00000000" w:rsidP="00000000" w:rsidRDefault="00000000" w:rsidRPr="00000000" w14:paraId="00000023">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Modules</w:t>
            </w:r>
          </w:p>
          <w:p w:rsidR="00000000" w:rsidDel="00000000" w:rsidP="00000000" w:rsidRDefault="00000000" w:rsidRPr="00000000" w14:paraId="00000024">
            <w:pPr>
              <w:jc w:val="center"/>
              <w:rPr>
                <w:rFonts w:ascii="Arial" w:cs="Arial" w:eastAsia="Arial" w:hAnsi="Arial"/>
                <w:i w:val="1"/>
                <w:iCs w:val="1"/>
                <w:sz w:val="18"/>
                <w:szCs w:val="18"/>
              </w:rPr>
            </w:pPr>
            <w:r w:rsidDel="00000000" w:rsidR="00000000" w:rsidRPr="00000000">
              <w:rPr>
                <w:rtl w:val="0"/>
              </w:rPr>
            </w:r>
          </w:p>
        </w:tc>
        <w:tc>
          <w:tcPr>
            <w:gridSpan w:val="2"/>
            <w:tcMar>
              <w:top w:w="144.0" w:type="dxa"/>
              <w:left w:w="144.0" w:type="dxa"/>
              <w:bottom w:w="144.0" w:type="dxa"/>
              <w:right w:w="144.0" w:type="dxa"/>
            </w:tcMar>
          </w:tcPr>
          <w:p w:rsidR="00000000" w:rsidDel="00000000" w:rsidP="00000000" w:rsidRDefault="00000000" w:rsidRPr="00000000" w14:paraId="00000025">
            <w:pPr>
              <w:pStyle w:val="Heading3"/>
              <w:keepNext w:val="0"/>
              <w:keepLines w:val="0"/>
              <w:numPr>
                <w:ilvl w:val="0"/>
                <w:numId w:val="1"/>
              </w:numPr>
              <w:spacing w:before="280" w:line="276" w:lineRule="auto"/>
              <w:ind w:left="720" w:hanging="360"/>
              <w:rPr>
                <w:rFonts w:ascii="Open Sans" w:cs="Open Sans" w:eastAsia="Open Sans" w:hAnsi="Open Sans"/>
                <w:sz w:val="18"/>
                <w:szCs w:val="18"/>
              </w:rPr>
            </w:pPr>
            <w:bookmarkStart w:colFirst="0" w:colLast="0" w:name="_heading=h.ejev5q9rm90c" w:id="0"/>
            <w:bookmarkEnd w:id="0"/>
            <w:r w:rsidDel="00000000" w:rsidR="00000000" w:rsidRPr="00000000">
              <w:rPr>
                <w:rFonts w:ascii="Arial" w:cs="Arial" w:eastAsia="Arial" w:hAnsi="Arial"/>
                <w:b w:val="1"/>
                <w:bCs w:val="1"/>
                <w:color w:val="000000"/>
                <w:sz w:val="22"/>
                <w:szCs w:val="22"/>
                <w:rtl w:val="0"/>
              </w:rPr>
              <w:t xml:space="preserve">Introduction to Design Thinking: Learning by Doing</w:t>
            </w:r>
          </w:p>
          <w:p w:rsidR="00000000" w:rsidDel="00000000" w:rsidP="00000000" w:rsidRDefault="00000000" w:rsidRPr="00000000" w14:paraId="00000026">
            <w:pPr>
              <w:spacing w:after="240" w:before="240" w:line="276" w:lineRule="auto"/>
              <w:ind w:left="7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This module introduces design thinking as a human-centered, experimental approach to problem-solving and opportunity discovery. Students learn that design thinking is not about having the right answer, but about asking better questions and learning through action.</w:t>
            </w:r>
          </w:p>
          <w:p w:rsidR="00000000" w:rsidDel="00000000" w:rsidP="00000000" w:rsidRDefault="00000000" w:rsidRPr="00000000" w14:paraId="00000027">
            <w:pPr>
              <w:spacing w:after="240" w:before="240" w:line="276" w:lineRule="auto"/>
              <w:ind w:left="7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Students are introduced to core frameworks such as the Double Diamond and the Innovator’s Compass, and begin practicing observation, listening, and reflection through a low-stakes design exercise.</w:t>
            </w:r>
          </w:p>
          <w:p w:rsidR="00000000" w:rsidDel="00000000" w:rsidP="00000000" w:rsidRDefault="00000000" w:rsidRPr="00000000" w14:paraId="00000028">
            <w:pPr>
              <w:pStyle w:val="Heading3"/>
              <w:keepNext w:val="0"/>
              <w:keepLines w:val="0"/>
              <w:numPr>
                <w:ilvl w:val="0"/>
                <w:numId w:val="1"/>
              </w:numPr>
              <w:spacing w:before="280" w:line="276" w:lineRule="auto"/>
              <w:ind w:left="720" w:hanging="360"/>
              <w:rPr>
                <w:rFonts w:ascii="Open Sans" w:cs="Open Sans" w:eastAsia="Open Sans" w:hAnsi="Open Sans"/>
                <w:sz w:val="18"/>
                <w:szCs w:val="18"/>
              </w:rPr>
            </w:pPr>
            <w:bookmarkStart w:colFirst="0" w:colLast="0" w:name="_heading=h.f02roamrrg8u" w:id="1"/>
            <w:bookmarkEnd w:id="1"/>
            <w:r w:rsidDel="00000000" w:rsidR="00000000" w:rsidRPr="00000000">
              <w:rPr>
                <w:rFonts w:ascii="Arial" w:cs="Arial" w:eastAsia="Arial" w:hAnsi="Arial"/>
                <w:b w:val="1"/>
                <w:bCs w:val="1"/>
                <w:color w:val="000000"/>
                <w:sz w:val="22"/>
                <w:szCs w:val="22"/>
                <w:rtl w:val="0"/>
              </w:rPr>
              <w:t xml:space="preserve">Design Research and Observation</w:t>
            </w:r>
          </w:p>
          <w:p w:rsidR="00000000" w:rsidDel="00000000" w:rsidP="00000000" w:rsidRDefault="00000000" w:rsidRPr="00000000" w14:paraId="00000029">
            <w:pPr>
              <w:spacing w:after="240" w:before="240" w:line="276" w:lineRule="auto"/>
              <w:ind w:left="7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This module focuses on learning from people and situations as they are, rather than as we imagine them to be. Students practice basic ethnographic techniques such as open-ended interviewing, noticing behaviors, and paying attention to frustrations, workarounds, and moments of delight.</w:t>
            </w:r>
          </w:p>
          <w:p w:rsidR="00000000" w:rsidDel="00000000" w:rsidP="00000000" w:rsidRDefault="00000000" w:rsidRPr="00000000" w14:paraId="0000002A">
            <w:pPr>
              <w:spacing w:after="240" w:before="240" w:line="276" w:lineRule="auto"/>
              <w:ind w:left="7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 emphasis is on curiosity and listening, not selling or convincing.</w:t>
            </w:r>
          </w:p>
          <w:p w:rsidR="00000000" w:rsidDel="00000000" w:rsidP="00000000" w:rsidRDefault="00000000" w:rsidRPr="00000000" w14:paraId="0000002B">
            <w:pPr>
              <w:pStyle w:val="Heading3"/>
              <w:keepNext w:val="0"/>
              <w:keepLines w:val="0"/>
              <w:numPr>
                <w:ilvl w:val="0"/>
                <w:numId w:val="1"/>
              </w:numPr>
              <w:spacing w:before="280" w:line="276" w:lineRule="auto"/>
              <w:ind w:left="720" w:hanging="360"/>
              <w:rPr>
                <w:rFonts w:ascii="Open Sans" w:cs="Open Sans" w:eastAsia="Open Sans" w:hAnsi="Open Sans"/>
                <w:sz w:val="18"/>
                <w:szCs w:val="18"/>
              </w:rPr>
            </w:pPr>
            <w:bookmarkStart w:colFirst="0" w:colLast="0" w:name="_heading=h.yaji1xqmxr0j" w:id="2"/>
            <w:bookmarkEnd w:id="2"/>
            <w:r w:rsidDel="00000000" w:rsidR="00000000" w:rsidRPr="00000000">
              <w:rPr>
                <w:rFonts w:ascii="Arial" w:cs="Arial" w:eastAsia="Arial" w:hAnsi="Arial"/>
                <w:b w:val="1"/>
                <w:bCs w:val="1"/>
                <w:color w:val="000000"/>
                <w:sz w:val="22"/>
                <w:szCs w:val="22"/>
                <w:rtl w:val="0"/>
              </w:rPr>
              <w:t xml:space="preserve">Synthesis, Framing, and Ideation</w:t>
            </w:r>
          </w:p>
          <w:p w:rsidR="00000000" w:rsidDel="00000000" w:rsidP="00000000" w:rsidRDefault="00000000" w:rsidRPr="00000000" w14:paraId="0000002C">
            <w:pPr>
              <w:spacing w:after="240" w:before="240" w:line="276" w:lineRule="auto"/>
              <w:ind w:left="7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In this module, students learn how to make sense of what they observe by identifying patterns, tensions, and insights. They practice turning insights into clear “How Might We” questions and generating a wide range of possible ideas through structured brainstorming.</w:t>
            </w:r>
          </w:p>
          <w:p w:rsidR="00000000" w:rsidDel="00000000" w:rsidP="00000000" w:rsidRDefault="00000000" w:rsidRPr="00000000" w14:paraId="0000002D">
            <w:pPr>
              <w:spacing w:after="240" w:before="240" w:line="276" w:lineRule="auto"/>
              <w:ind w:left="7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Students explore how the same core gift or passion can be expressed through different containers: products, services, or experiences.</w:t>
            </w:r>
          </w:p>
          <w:p w:rsidR="00000000" w:rsidDel="00000000" w:rsidP="00000000" w:rsidRDefault="00000000" w:rsidRPr="00000000" w14:paraId="0000002E">
            <w:pPr>
              <w:pStyle w:val="Heading3"/>
              <w:keepNext w:val="0"/>
              <w:keepLines w:val="0"/>
              <w:numPr>
                <w:ilvl w:val="0"/>
                <w:numId w:val="1"/>
              </w:numPr>
              <w:spacing w:before="280" w:line="276" w:lineRule="auto"/>
              <w:ind w:left="720" w:hanging="360"/>
              <w:rPr>
                <w:rFonts w:ascii="Open Sans" w:cs="Open Sans" w:eastAsia="Open Sans" w:hAnsi="Open Sans"/>
                <w:sz w:val="18"/>
                <w:szCs w:val="18"/>
              </w:rPr>
            </w:pPr>
            <w:bookmarkStart w:colFirst="0" w:colLast="0" w:name="_heading=h.7wqdhfplhozl" w:id="3"/>
            <w:bookmarkEnd w:id="3"/>
            <w:r w:rsidDel="00000000" w:rsidR="00000000" w:rsidRPr="00000000">
              <w:rPr>
                <w:rFonts w:ascii="Arial" w:cs="Arial" w:eastAsia="Arial" w:hAnsi="Arial"/>
                <w:b w:val="1"/>
                <w:bCs w:val="1"/>
                <w:color w:val="000000"/>
                <w:sz w:val="22"/>
                <w:szCs w:val="22"/>
                <w:rtl w:val="0"/>
              </w:rPr>
              <w:t xml:space="preserve">Prototyping and First Offer Development</w:t>
            </w:r>
          </w:p>
          <w:p w:rsidR="00000000" w:rsidDel="00000000" w:rsidP="00000000" w:rsidRDefault="00000000" w:rsidRPr="00000000" w14:paraId="0000002F">
            <w:pPr>
              <w:spacing w:after="240" w:before="240" w:line="276" w:lineRule="auto"/>
              <w:ind w:left="7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This module centers on rapid prototyping as a way to think and learn. Students create simple, low-fidelity prototypes—such as sketches, mock-ups, role-plays, or sample offerings—to test their ideas with real people.</w:t>
            </w:r>
          </w:p>
          <w:p w:rsidR="00000000" w:rsidDel="00000000" w:rsidP="00000000" w:rsidRDefault="00000000" w:rsidRPr="00000000" w14:paraId="00000030">
            <w:pPr>
              <w:spacing w:after="240" w:before="240" w:line="276" w:lineRule="auto"/>
              <w:ind w:left="720" w:firstLine="0"/>
              <w:rPr>
                <w:rFonts w:ascii="Open Sans" w:cs="Open Sans" w:eastAsia="Open Sans" w:hAnsi="Open Sans"/>
                <w:b w:val="1"/>
                <w:bCs w:val="1"/>
                <w:sz w:val="18"/>
                <w:szCs w:val="18"/>
              </w:rPr>
            </w:pPr>
            <w:r w:rsidDel="00000000" w:rsidR="00000000" w:rsidRPr="00000000">
              <w:rPr>
                <w:rFonts w:ascii="Arial" w:cs="Arial" w:eastAsia="Arial" w:hAnsi="Arial"/>
                <w:sz w:val="18"/>
                <w:szCs w:val="18"/>
                <w:rtl w:val="0"/>
              </w:rPr>
              <w:t xml:space="preserve">Using feedback and reflection, students evaluate their ideas through the lenses of desirability, viability, feasibility, and adaptability, and select one idea to develop into a clear first offer that can be carried forward into branding, website, and financial planning.</w:t>
            </w:r>
            <w:r w:rsidDel="00000000" w:rsidR="00000000" w:rsidRPr="00000000">
              <w:rPr>
                <w:rFonts w:ascii="Arial" w:cs="Arial" w:eastAsia="Arial" w:hAnsi="Arial"/>
                <w:b w:val="1"/>
                <w:bCs w:val="1"/>
                <w:sz w:val="18"/>
                <w:szCs w:val="18"/>
                <w:rtl w:val="0"/>
              </w:rPr>
              <w:br w:type="textWrapping"/>
            </w:r>
            <w:r w:rsidDel="00000000" w:rsidR="00000000" w:rsidRPr="00000000">
              <w:rPr>
                <w:rtl w:val="0"/>
              </w:rPr>
            </w:r>
          </w:p>
        </w:tc>
      </w:tr>
      <w:tr>
        <w:trPr>
          <w:cantSplit w:val="0"/>
          <w:tblHeader w:val="0"/>
        </w:trPr>
        <w:tc>
          <w:tcPr>
            <w:shd w:fill="f9f5f0" w:val="clear"/>
            <w:tcMar>
              <w:top w:w="144.0" w:type="dxa"/>
              <w:left w:w="144.0" w:type="dxa"/>
              <w:bottom w:w="144.0" w:type="dxa"/>
              <w:right w:w="144.0" w:type="dxa"/>
            </w:tcMar>
          </w:tcPr>
          <w:p w:rsidR="00000000" w:rsidDel="00000000" w:rsidP="00000000" w:rsidRDefault="00000000" w:rsidRPr="00000000" w14:paraId="00000032">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Course structure and schedule</w:t>
            </w:r>
          </w:p>
        </w:tc>
        <w:tc>
          <w:tcPr>
            <w:gridSpan w:val="2"/>
            <w:tcMar>
              <w:top w:w="144.0" w:type="dxa"/>
              <w:left w:w="144.0" w:type="dxa"/>
              <w:bottom w:w="144.0" w:type="dxa"/>
              <w:right w:w="144.0" w:type="dxa"/>
            </w:tcMar>
          </w:tcPr>
          <w:p w:rsidR="00000000" w:rsidDel="00000000" w:rsidP="00000000" w:rsidRDefault="00000000" w:rsidRPr="00000000" w14:paraId="00000033">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Duration: </w:t>
            </w:r>
            <w:r w:rsidDel="00000000" w:rsidR="00000000" w:rsidRPr="00000000">
              <w:rPr>
                <w:rFonts w:ascii="Arial" w:cs="Arial" w:eastAsia="Arial" w:hAnsi="Arial"/>
                <w:sz w:val="22"/>
                <w:szCs w:val="22"/>
                <w:rtl w:val="0"/>
              </w:rPr>
              <w:t xml:space="preserve">2 weeks</w:t>
            </w:r>
            <w:r w:rsidDel="00000000" w:rsidR="00000000" w:rsidRPr="00000000">
              <w:rPr>
                <w:rFonts w:ascii="Arial" w:cs="Arial" w:eastAsia="Arial" w:hAnsi="Arial"/>
                <w:b w:val="1"/>
                <w:bCs w:val="1"/>
                <w:sz w:val="22"/>
                <w:szCs w:val="22"/>
                <w:rtl w:val="0"/>
              </w:rPr>
              <w:br w:type="textWrapping"/>
              <w:t xml:space="preserve">Format: </w:t>
            </w:r>
            <w:r w:rsidDel="00000000" w:rsidR="00000000" w:rsidRPr="00000000">
              <w:rPr>
                <w:rFonts w:ascii="Arial" w:cs="Arial" w:eastAsia="Arial" w:hAnsi="Arial"/>
                <w:sz w:val="22"/>
                <w:szCs w:val="22"/>
                <w:rtl w:val="0"/>
              </w:rPr>
              <w:t xml:space="preserve">4 sessions, 1 hour each (4 total hours)</w:t>
              <w:br w:type="textWrapping"/>
            </w:r>
            <w:r w:rsidDel="00000000" w:rsidR="00000000" w:rsidRPr="00000000">
              <w:rPr>
                <w:rtl w:val="0"/>
              </w:rPr>
            </w:r>
          </w:p>
          <w:p w:rsidR="00000000" w:rsidDel="00000000" w:rsidP="00000000" w:rsidRDefault="00000000" w:rsidRPr="00000000" w14:paraId="00000034">
            <w:pPr>
              <w:numPr>
                <w:ilvl w:val="0"/>
                <w:numId w:val="2"/>
              </w:numPr>
              <w:spacing w:line="276"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Session 1: Introduction to Design Thinking + Empathy Practice</w:t>
            </w:r>
          </w:p>
          <w:p w:rsidR="00000000" w:rsidDel="00000000" w:rsidP="00000000" w:rsidRDefault="00000000" w:rsidRPr="00000000" w14:paraId="00000035">
            <w:pPr>
              <w:numPr>
                <w:ilvl w:val="0"/>
                <w:numId w:val="2"/>
              </w:numPr>
              <w:spacing w:line="276"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Session 2: Research, Synthesis, and Idea Generation</w:t>
            </w:r>
          </w:p>
          <w:p w:rsidR="00000000" w:rsidDel="00000000" w:rsidP="00000000" w:rsidRDefault="00000000" w:rsidRPr="00000000" w14:paraId="00000036">
            <w:pPr>
              <w:numPr>
                <w:ilvl w:val="0"/>
                <w:numId w:val="2"/>
              </w:numPr>
              <w:spacing w:line="276"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Session 3: Prototyping and Learning from the World</w:t>
            </w:r>
          </w:p>
          <w:p w:rsidR="00000000" w:rsidDel="00000000" w:rsidP="00000000" w:rsidRDefault="00000000" w:rsidRPr="00000000" w14:paraId="00000037">
            <w:pPr>
              <w:numPr>
                <w:ilvl w:val="0"/>
                <w:numId w:val="2"/>
              </w:numPr>
              <w:spacing w:line="276"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Session 4: Choosing a Direction and Defining a First Offer</w:t>
            </w:r>
          </w:p>
        </w:tc>
      </w:tr>
    </w:tbl>
    <w:p w:rsidR="00000000" w:rsidDel="00000000" w:rsidP="00000000" w:rsidRDefault="00000000" w:rsidRPr="00000000" w14:paraId="00000039">
      <w:pPr>
        <w:rPr>
          <w:rFonts w:ascii="Arial" w:cs="Arial" w:eastAsia="Arial" w:hAnsi="Arial"/>
          <w:sz w:val="12"/>
          <w:szCs w:val="12"/>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sz w:val="18"/>
        <w:szCs w:val="18"/>
        <w:rtl w:val="0"/>
      </w:rPr>
      <w:t xml:space="preserve">©Aram Armstrong, independent contractor with license granted to Mālamalama for ‘emerging leaders’ course use.</w:t>
    </w:r>
    <w:r w:rsidDel="00000000" w:rsidR="00000000" w:rsidRPr="00000000">
      <w:rPr>
        <w:rtl w:val="0"/>
      </w:rPr>
    </w:r>
  </w:p>
  <w:p w:rsidR="00000000" w:rsidDel="00000000" w:rsidP="00000000" w:rsidRDefault="00000000" w:rsidRPr="00000000" w14:paraId="0000003B">
    <w:pPr>
      <w:rPr>
        <w:rFonts w:ascii="Arial" w:cs="Arial" w:eastAsia="Arial" w:hAnsi="Arial"/>
        <w:sz w:val="2"/>
        <w:szCs w:val="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220CE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20CE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20CE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20CE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20CE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20CE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20CE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20CE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20CE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20CE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20CE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20CE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20CE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20CE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20CE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20CE5"/>
    <w:rPr>
      <w:i w:val="1"/>
      <w:iCs w:val="1"/>
      <w:color w:val="404040" w:themeColor="text1" w:themeTint="0000BF"/>
    </w:rPr>
  </w:style>
  <w:style w:type="paragraph" w:styleId="ListParagraph">
    <w:name w:val="List Paragraph"/>
    <w:basedOn w:val="Normal"/>
    <w:uiPriority w:val="34"/>
    <w:qFormat w:val="1"/>
    <w:rsid w:val="00220CE5"/>
    <w:pPr>
      <w:ind w:left="720"/>
      <w:contextualSpacing w:val="1"/>
    </w:pPr>
  </w:style>
  <w:style w:type="character" w:styleId="IntenseEmphasis">
    <w:name w:val="Intense Emphasis"/>
    <w:basedOn w:val="DefaultParagraphFont"/>
    <w:uiPriority w:val="21"/>
    <w:qFormat w:val="1"/>
    <w:rsid w:val="00220CE5"/>
    <w:rPr>
      <w:i w:val="1"/>
      <w:iCs w:val="1"/>
      <w:color w:val="0f4761" w:themeColor="accent1" w:themeShade="0000BF"/>
    </w:rPr>
  </w:style>
  <w:style w:type="paragraph" w:styleId="IntenseQuote">
    <w:name w:val="Intense Quote"/>
    <w:basedOn w:val="Normal"/>
    <w:next w:val="Normal"/>
    <w:link w:val="IntenseQuoteChar"/>
    <w:uiPriority w:val="30"/>
    <w:qFormat w:val="1"/>
    <w:rsid w:val="00220CE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20CE5"/>
    <w:rPr>
      <w:i w:val="1"/>
      <w:iCs w:val="1"/>
      <w:color w:val="0f4761" w:themeColor="accent1" w:themeShade="0000BF"/>
    </w:rPr>
  </w:style>
  <w:style w:type="character" w:styleId="IntenseReference">
    <w:name w:val="Intense Reference"/>
    <w:basedOn w:val="DefaultParagraphFont"/>
    <w:uiPriority w:val="32"/>
    <w:qFormat w:val="1"/>
    <w:rsid w:val="00220CE5"/>
    <w:rPr>
      <w:b w:val="1"/>
      <w:bCs w:val="1"/>
      <w:smallCaps w:val="1"/>
      <w:color w:val="0f4761" w:themeColor="accent1" w:themeShade="0000BF"/>
      <w:spacing w:val="5"/>
    </w:rPr>
  </w:style>
  <w:style w:type="table" w:styleId="Table1">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egB6WX+gMXN6DG3+d7dadBG5jQ==">CgMxLjAyDmguZWpldjVxOXJtOTBjMg5oLmYwMnJvYW1ycmc4dTIOaC55YWppMXhxbXhyMGoyDmguN3dxZGhmcGxob3psOAByITFqTWtaY3ZxZ05vZUUtb3Fac29ZQXZFcThJV0xSNklnRw==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2025-10-28T02:17:00Z</dcterms:created>
  <dc:creator>Sylvia Cenzano</dc:creator>
</cp:coreProperties>
</file>